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Frontpage: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Title"/>
        <w:rPr/>
      </w:pPr>
      <w:bookmarkStart w:colFirst="0" w:colLast="0" w:name="_iwus4yu00pgl" w:id="0"/>
      <w:bookmarkEnd w:id="0"/>
      <w:r w:rsidDel="00000000" w:rsidR="00000000" w:rsidRPr="00000000">
        <w:rPr>
          <w:rtl w:val="0"/>
        </w:rPr>
        <w:t xml:space="preserve">Gambling reinvented - fair gambling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Welcome to FairCasinoReview.com, your number one resource for information about the best of fair gambling.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Every day of the year, worldwide gamblers invest their hard-earned buck in online casinos that are designed to create revenue for the providers - not the players.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Nobody likes to be on the losing side of things, right?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At FairCasinoReview.com, we have made it our mission to help you find the most fair gambling experience in the world, an experience where you are not paying a share of your money to the casino.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We are experts in fair gambling and have made it our quest, to help you get a return to player or RTP of 100%.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Every day we surf the web for the best fair gambling experience. Rest assured, that we will be the first place to tell you once fully fair gambling becomes available to you.</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Let’s give the game back to the players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